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pPr>
      <w:r>
        <w:rPr>
          <w:b/>
          <w:bCs/>
          <w:sz w:val="26"/>
          <w:szCs w:val="26"/>
        </w:rPr>
        <w:t xml:space="preserve">Public Comment — Boston Coastal Storm Risk Management Feasibility Study (Draft Report, July 2026)</w:t>
      </w:r>
    </w:p>
    <w:p>
      <w:pPr>
        <w:spacing w:after="160"/>
      </w:pPr>
      <w:r>
        <w:rPr>
          <w:sz w:val="22"/>
          <w:szCs w:val="22"/>
        </w:rPr>
        <w:t xml:space="preserve">Submitted by: David Green, Save Money with Clean Heat Campaign, 350 Mass (</w:t>
      </w:r>
      <w:hyperlink w:history="1" r:id="rIdezpug9wxxukt_r5-iuchd">
        <w:r>
          <w:rPr>
            <w:rStyle w:val="Hyperlink"/>
            <w:sz w:val="22"/>
            <w:szCs w:val="22"/>
          </w:rPr>
          <w:t xml:space="preserve">davidlcgreen@gmail.com</w:t>
        </w:r>
      </w:hyperlink>
      <w:r>
        <w:rPr>
          <w:sz w:val="22"/>
          <w:szCs w:val="22"/>
        </w:rPr>
        <w:t xml:space="preserve">)</w:t>
      </w:r>
    </w:p>
    <w:p>
      <w:pPr>
        <w:spacing w:after="160"/>
      </w:pPr>
      <w:r>
        <w:rPr>
          <w:sz w:val="22"/>
          <w:szCs w:val="22"/>
        </w:rPr>
        <w:t xml:space="preserve">The Save Money with Clean Heat campaign commends the Corps and the City of Boston on the draft Coastal Storm Risk Management Feasibility Study. We support the study’s central findings — that over 40% of Boston residents are at risk of coastal flooding, that inaction risks $54 billion in losses by end of century, and that shore-based protection of the five most exposed neighborhoods should proceed. We urge the Corps to finalize the study and unlock federal cost-sharing for near-term construction.</w:t>
      </w:r>
    </w:p>
    <w:p>
      <w:pPr>
        <w:spacing w:after="160"/>
      </w:pPr>
      <w:r>
        <w:rPr>
          <w:sz w:val="22"/>
          <w:szCs w:val="22"/>
        </w:rPr>
        <w:t xml:space="preserve">We submit three requests for the final report.</w:t>
      </w:r>
    </w:p>
    <w:p>
      <w:pPr>
        <w:spacing w:after="160"/>
      </w:pPr>
      <w:r>
        <w:rPr>
          <w:b/>
          <w:bCs/>
          <w:sz w:val="22"/>
          <w:szCs w:val="22"/>
        </w:rPr>
        <w:t xml:space="preserve">1. Address the harbor communities outside the study scope. </w:t>
      </w:r>
      <w:r>
        <w:rPr>
          <w:sz w:val="22"/>
          <w:szCs w:val="22"/>
        </w:rPr>
        <w:t xml:space="preserve">The draft protects five Boston neighborhoods along 16 of the city’s 47 coastline miles. Winthrop, Chelsea, Everett, Quincy, Braintree, Weymouth, Hingham, Hull, and other harbor-basin communities — together with regional assets including Logan Airport’s access tunnels — face the same storm surge from the same body of water and receive no protection from the proposed projects. We request that the final report explicitly acknowledge this residual regional risk and describe how the Boston CSRM relates to the Section 729 Boston Metropolitan Area Coastal Study’s regional findings, so that decision-makers do not mistake a Boston-perimeter program for harbor-wide protection.</w:t>
      </w:r>
    </w:p>
    <w:p>
      <w:pPr>
        <w:spacing w:after="160"/>
      </w:pPr>
      <w:r>
        <w:rPr>
          <w:b/>
          <w:bCs/>
          <w:sz w:val="22"/>
          <w:szCs w:val="22"/>
        </w:rPr>
        <w:t xml:space="preserve">2. Preserve and evaluate the harbor-wide option for the mid-century horizon. </w:t>
      </w:r>
      <w:r>
        <w:rPr>
          <w:sz w:val="22"/>
          <w:szCs w:val="22"/>
        </w:rPr>
        <w:t xml:space="preserve">The 2018 UMass Boston </w:t>
      </w:r>
      <w:r>
        <w:rPr>
          <w:i/>
          <w:iCs/>
          <w:sz w:val="22"/>
          <w:szCs w:val="22"/>
        </w:rPr>
        <w:t xml:space="preserve">Feasibility of Harbor-wide Barrier Systems</w:t>
      </w:r>
      <w:r>
        <w:rPr>
          <w:sz w:val="22"/>
          <w:szCs w:val="22"/>
        </w:rPr>
        <w:t xml:space="preserve"> study, whose Boston Harbor Flood Risk Model underpins current flood planning, recommended that harbor-wide protection be re-examined “at some point” with more detailed analysis as conditions worsen. Conditions have worsened — and a key constraint has dissolved. The LNG tanker transits whose Coast Guard security zones forced the 2018 design to hold the full shipping channels open (the floating gates that consumed over 60% of its cost) have collapsed since Mystic Generating Station’s closure in May 2024, and the residual winter cargoes can be received at existing, federally licensed offshore terminals. We request that the final report (a) state whether the proposed shoreline alignments are designed to be compatible with — and not preclude — a future harbor-wide structure between Deer Island and Hull, and (b) include harbor-wide protection in its discussion of adaptive pathways beyond the study’s period of analysis, given that the draft’s own projects carry 30–50 year design lives against a threat that continues rising past 2100.</w:t>
      </w:r>
    </w:p>
    <w:p>
      <w:pPr>
        <w:spacing w:after="160"/>
      </w:pPr>
      <w:r>
        <w:rPr>
          <w:b/>
          <w:bCs/>
          <w:sz w:val="22"/>
          <w:szCs w:val="22"/>
        </w:rPr>
        <w:t xml:space="preserve">3. Consider revenue-generating alternatives in the adaptive-management framework. </w:t>
      </w:r>
      <w:r>
        <w:rPr>
          <w:sz w:val="22"/>
          <w:szCs w:val="22"/>
        </w:rPr>
        <w:t xml:space="preserve">Our campaign has prepared a detailed briefing, </w:t>
      </w:r>
      <w:r>
        <w:rPr>
          <w:i/>
          <w:iCs/>
          <w:sz w:val="22"/>
          <w:szCs w:val="22"/>
        </w:rPr>
        <w:t xml:space="preserve">The Harbor Line</w:t>
      </w:r>
      <w:r>
        <w:rPr>
          <w:sz w:val="22"/>
          <w:szCs w:val="22"/>
        </w:rPr>
        <w:t xml:space="preserve"> (attached, and available at </w:t>
      </w:r>
      <w:hyperlink w:history="1" r:id="rIdyic8bdi9rljdoevmzz0hj">
        <w:r>
          <w:rPr>
            <w:rStyle w:val="Hyperlink"/>
            <w:sz w:val="22"/>
            <w:szCs w:val="22"/>
          </w:rPr>
          <w:t xml:space="preserve">greenzerocarbonhome.com</w:t>
        </w:r>
      </w:hyperlink>
      <w:r>
        <w:rPr>
          <w:sz w:val="22"/>
          <w:szCs w:val="22"/>
        </w:rPr>
        <w:t xml:space="preserve">), proposing a tidal-power causeway from Deer Island through the Harbor Islands to Hull. Preliminary analysis indicates capital costs of $2.7–5.1 billion — below the draft CSRM’s $9–10.5 billion baseline — with harbor-wide coverage of all 21 harbor communities, 886–1,619 GWh per year of tidal and wind generation, and revenue streams sufficient to service its own debt, differing fundamentally from the passive storm-surge barrier the 2018 UMass study found not cost-effective. We do not ask the Corps to adopt this proposal; we ask that the final report acknowledge that revenue-generating harbor-wide alternatives exist, merit study on the mid-century horizon, and are complementary to — not competitive with — the near-term shore-based program. The correct sequence, in our view and UMass Boston’s, is shore-based now, harbor-wide by mid-century.</w:t>
      </w:r>
    </w:p>
    <w:p>
      <w:pPr>
        <w:spacing w:after="160"/>
      </w:pPr>
      <w:r>
        <w:rPr>
          <w:sz w:val="22"/>
          <w:szCs w:val="22"/>
        </w:rPr>
        <w:t xml:space="preserve">We would welcome the opportunity to brief the study team. Thank you for the opportunity to comment.</w:t>
      </w:r>
    </w:p>
    <w:p>
      <w:pPr>
        <w:spacing w:before="200"/>
      </w:pPr>
      <w:r>
        <w:rPr>
          <w:sz w:val="22"/>
          <w:szCs w:val="22"/>
        </w:rPr>
        <w:t xml:space="preserve">David Green</w:t>
      </w:r>
    </w:p>
    <w:p>
      <w:pPr>
        <w:spacing w:after="160"/>
      </w:pPr>
      <w:r>
        <w:rPr>
          <w:sz w:val="22"/>
          <w:szCs w:val="22"/>
        </w:rPr>
        <w:t xml:space="preserve">Save Money with Clean Heat Campaign, 350 Mass</w:t>
      </w:r>
    </w:p>
    <w:p>
      <w:pPr>
        <w:spacing w:after="160"/>
      </w:pPr>
      <w:hyperlink w:history="1" r:id="rId5col6hqexsa_b3pjcgyr4">
        <w:r>
          <w:rPr>
            <w:rStyle w:val="Hyperlink"/>
            <w:sz w:val="22"/>
            <w:szCs w:val="22"/>
          </w:rPr>
          <w:t xml:space="preserve">davidlcgreen@gmail.com</w:t>
        </w:r>
      </w:hyperlink>
      <w:r>
        <w:rPr>
          <w:sz w:val="22"/>
          <w:szCs w:val="22"/>
        </w:rPr>
        <w:t xml:space="preserve">  ·  </w:t>
      </w:r>
      <w:hyperlink w:history="1" r:id="rIdwjq_h_bitfrhtsreplvwd">
        <w:r>
          <w:rPr>
            <w:rStyle w:val="Hyperlink"/>
            <w:sz w:val="22"/>
            <w:szCs w:val="22"/>
          </w:rPr>
          <w:t xml:space="preserve">greenzerocarbonhome.com/the-harbor-line-flood-prevention-clean-energy-and-a-new-park-for-ma/</w:t>
        </w:r>
      </w:hyperlink>
    </w:p>
    <w:sectPr>
      <w:pgSz w:w="11906" w:h="16838"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ezpug9wxxukt_r5-iuchd" Type="http://schemas.openxmlformats.org/officeDocument/2006/relationships/hyperlink" Target="mailto:davidlcgreen@gmail.com" TargetMode="External"/><Relationship Id="rIdyic8bdi9rljdoevmzz0hj" Type="http://schemas.openxmlformats.org/officeDocument/2006/relationships/hyperlink" Target="https://greenzerocarbonhome.com/the-harbor-line-flood-prevention-clean-energy-and-a-new-park-for-ma/" TargetMode="External"/><Relationship Id="rId5col6hqexsa_b3pjcgyr4" Type="http://schemas.openxmlformats.org/officeDocument/2006/relationships/hyperlink" Target="mailto:davidlcgreen@gmail.com" TargetMode="External"/><Relationship Id="rIdwjq_h_bitfrhtsreplvwd" Type="http://schemas.openxmlformats.org/officeDocument/2006/relationships/hyperlink" Target="https://greenzerocarbonhome.com/the-harbor-line-flood-prevention-clean-energy-and-a-new-park-for-ma/" TargetMode="Externa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2026-09-15T15:52:43.192Z</dcterms:created>
  <dcterms:modified xsi:type="dcterms:W3CDTF">2026-09-15T15:52:43.200Z</dcterms:modified>
</cp:coreProperties>
</file>

<file path=docProps/custom.xml><?xml version="1.0" encoding="utf-8"?>
<Properties xmlns="http://schemas.openxmlformats.org/officeDocument/2006/custom-properties" xmlns:vt="http://schemas.openxmlformats.org/officeDocument/2006/docPropsVTypes"/>
</file>